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DA" w:rsidRPr="00F61B4F" w:rsidRDefault="00054FDA" w:rsidP="00054FDA">
      <w:pPr>
        <w:pStyle w:val="Nadpis1"/>
        <w:widowControl w:val="0"/>
        <w:numPr>
          <w:ilvl w:val="0"/>
          <w:numId w:val="1"/>
        </w:numPr>
        <w:spacing w:after="200" w:line="276" w:lineRule="auto"/>
        <w:jc w:val="left"/>
        <w:rPr>
          <w:rFonts w:ascii="Cambria" w:hAnsi="Cambria" w:cs="Calibri"/>
          <w:b/>
          <w:sz w:val="22"/>
          <w:u w:val="single"/>
        </w:rPr>
      </w:pPr>
      <w:bookmarkStart w:id="0" w:name="_Ref519077416"/>
      <w:bookmarkStart w:id="1" w:name="_Toc149035033"/>
      <w:r w:rsidRPr="00F61B4F">
        <w:rPr>
          <w:rFonts w:ascii="Cambria" w:hAnsi="Cambria" w:cs="Calibri"/>
          <w:b/>
          <w:sz w:val="22"/>
          <w:u w:val="single"/>
        </w:rPr>
        <w:t>HODNOCENÍ NABÍDEK</w:t>
      </w:r>
      <w:bookmarkEnd w:id="0"/>
      <w:bookmarkEnd w:id="1"/>
    </w:p>
    <w:p w:rsidR="00054FDA" w:rsidRPr="00F61B4F" w:rsidRDefault="00054FDA" w:rsidP="00054FDA">
      <w:pPr>
        <w:pStyle w:val="Nadpis2"/>
        <w:keepNext w:val="0"/>
        <w:spacing w:after="120" w:line="276" w:lineRule="auto"/>
        <w:ind w:left="284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Hodnocení nabídek bude provedeno v souladu s § 114 a násl. ZZVZ podle ekonomické výhodnosti nabídek. </w:t>
      </w:r>
    </w:p>
    <w:p w:rsidR="00054FDA" w:rsidRPr="00F61B4F" w:rsidRDefault="00054FDA" w:rsidP="00054FDA">
      <w:pPr>
        <w:pStyle w:val="Nadpis2"/>
        <w:keepNext w:val="0"/>
        <w:numPr>
          <w:ilvl w:val="1"/>
          <w:numId w:val="1"/>
        </w:numPr>
        <w:spacing w:after="120" w:line="276" w:lineRule="auto"/>
        <w:rPr>
          <w:rFonts w:ascii="Cambria" w:hAnsi="Cambria" w:cs="Calibri"/>
          <w:b/>
          <w:sz w:val="22"/>
        </w:rPr>
      </w:pPr>
      <w:r w:rsidRPr="00F61B4F">
        <w:rPr>
          <w:rFonts w:ascii="Cambria" w:hAnsi="Cambria" w:cs="Calibri"/>
          <w:b/>
          <w:sz w:val="22"/>
        </w:rPr>
        <w:t xml:space="preserve">Kritéria hodnocení: </w:t>
      </w:r>
    </w:p>
    <w:p w:rsidR="00054FDA" w:rsidRPr="00F61B4F" w:rsidRDefault="00054FDA" w:rsidP="00054FDA">
      <w:pPr>
        <w:pStyle w:val="Nadpis2"/>
        <w:keepNext w:val="0"/>
        <w:spacing w:after="120" w:line="276" w:lineRule="auto"/>
        <w:ind w:left="360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Nabídky budou hodnoceny v souladu s </w:t>
      </w:r>
      <w:proofErr w:type="spellStart"/>
      <w:r w:rsidRPr="00F61B4F">
        <w:rPr>
          <w:rFonts w:ascii="Cambria" w:hAnsi="Cambria" w:cs="Calibri"/>
          <w:sz w:val="22"/>
        </w:rPr>
        <w:t>ust</w:t>
      </w:r>
      <w:proofErr w:type="spellEnd"/>
      <w:r w:rsidRPr="00F61B4F">
        <w:rPr>
          <w:rFonts w:ascii="Cambria" w:hAnsi="Cambria" w:cs="Calibri"/>
          <w:sz w:val="22"/>
        </w:rPr>
        <w:t xml:space="preserve">. § 114 a násl. ZZVZ podle jejich ekonomické výhodnosti na základě nejvýhodnějšího poměru nabídkové ceny a kvality. Ekonomicky nejvýhodnější nabídkou je nabídka, která v souhrnu nejlépe naplní stanovená kritéria hodnocení: 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88"/>
        <w:gridCol w:w="1342"/>
      </w:tblGrid>
      <w:tr w:rsidR="00054FDA" w:rsidRPr="00896800" w:rsidTr="00754873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54FDA" w:rsidRPr="00F61B4F" w:rsidRDefault="00054FDA" w:rsidP="00754873">
            <w:pPr>
              <w:keepNext/>
              <w:spacing w:before="60" w:after="60" w:line="276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FDA" w:rsidRPr="00F61B4F" w:rsidRDefault="00054FDA" w:rsidP="00754873">
            <w:pPr>
              <w:spacing w:before="60" w:after="60" w:line="276" w:lineRule="auto"/>
              <w:jc w:val="center"/>
              <w:rPr>
                <w:rFonts w:ascii="Cambria" w:hAnsi="Cambria" w:cs="Calibri"/>
                <w:b/>
              </w:rPr>
            </w:pPr>
            <w:r w:rsidRPr="00F61B4F">
              <w:rPr>
                <w:rFonts w:ascii="Cambria" w:hAnsi="Cambria" w:cs="Calibri"/>
                <w:b/>
              </w:rPr>
              <w:t>Kritéria hodnocení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FDA" w:rsidRPr="00F61B4F" w:rsidRDefault="00054FDA" w:rsidP="00754873">
            <w:pPr>
              <w:spacing w:before="60" w:after="60" w:line="276" w:lineRule="auto"/>
              <w:jc w:val="center"/>
              <w:rPr>
                <w:rFonts w:ascii="Cambria" w:hAnsi="Cambria" w:cs="Calibri"/>
                <w:b/>
              </w:rPr>
            </w:pPr>
            <w:r w:rsidRPr="00F61B4F">
              <w:rPr>
                <w:rFonts w:ascii="Cambria" w:hAnsi="Cambria" w:cs="Calibri"/>
                <w:b/>
              </w:rPr>
              <w:t>Váha</w:t>
            </w:r>
          </w:p>
        </w:tc>
      </w:tr>
      <w:tr w:rsidR="00054FDA" w:rsidRPr="00896800" w:rsidTr="00754873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FDA" w:rsidRPr="00F61B4F" w:rsidRDefault="00054FDA" w:rsidP="00754873">
            <w:pPr>
              <w:keepNext/>
              <w:spacing w:before="60" w:after="60" w:line="276" w:lineRule="auto"/>
              <w:jc w:val="center"/>
              <w:rPr>
                <w:rFonts w:ascii="Cambria" w:hAnsi="Cambria" w:cs="Calibri"/>
              </w:rPr>
            </w:pPr>
            <w:r w:rsidRPr="00F61B4F">
              <w:rPr>
                <w:rFonts w:ascii="Cambria" w:hAnsi="Cambria" w:cs="Calibri"/>
              </w:rPr>
              <w:t>A.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FDA" w:rsidRPr="00F61B4F" w:rsidRDefault="00054FDA" w:rsidP="00754873">
            <w:pPr>
              <w:spacing w:before="60" w:after="60" w:line="276" w:lineRule="auto"/>
              <w:rPr>
                <w:rFonts w:ascii="Cambria" w:hAnsi="Cambria" w:cs="Calibri"/>
              </w:rPr>
            </w:pPr>
            <w:bookmarkStart w:id="2" w:name="_GoBack"/>
            <w:r w:rsidRPr="00F61B4F">
              <w:rPr>
                <w:rFonts w:ascii="Cambria" w:hAnsi="Cambria" w:cs="Calibri"/>
              </w:rPr>
              <w:t xml:space="preserve">Nabídková cena za dodání </w:t>
            </w:r>
            <w:r>
              <w:rPr>
                <w:rFonts w:ascii="Cambria" w:hAnsi="Cambria" w:cs="Calibri"/>
              </w:rPr>
              <w:t>CT přístroje</w:t>
            </w:r>
            <w:r w:rsidRPr="00F61B4F">
              <w:rPr>
                <w:rFonts w:ascii="Cambria" w:hAnsi="Cambria" w:cs="Calibri"/>
              </w:rPr>
              <w:t xml:space="preserve"> a souvisejícího plnění</w:t>
            </w:r>
            <w:r w:rsidR="00C01032">
              <w:rPr>
                <w:rFonts w:ascii="Cambria" w:hAnsi="Cambria" w:cs="Calibri"/>
              </w:rPr>
              <w:t xml:space="preserve"> včetně </w:t>
            </w:r>
            <w:r w:rsidR="00D5505A">
              <w:rPr>
                <w:rFonts w:ascii="Cambria" w:hAnsi="Cambria" w:cs="Calibri"/>
              </w:rPr>
              <w:t xml:space="preserve">šestiletého </w:t>
            </w:r>
            <w:r w:rsidR="00C01032">
              <w:rPr>
                <w:rFonts w:ascii="Cambria" w:hAnsi="Cambria" w:cs="Calibri"/>
              </w:rPr>
              <w:t>pozáručního servisu</w:t>
            </w:r>
            <w:bookmarkEnd w:id="2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FDA" w:rsidRPr="00F61B4F" w:rsidRDefault="00054FDA" w:rsidP="00754873">
            <w:pPr>
              <w:spacing w:before="60" w:after="60" w:line="276" w:lineRule="auto"/>
              <w:jc w:val="center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Cs/>
              </w:rPr>
              <w:t>65</w:t>
            </w:r>
            <w:r w:rsidRPr="00F61B4F">
              <w:rPr>
                <w:rFonts w:ascii="Cambria" w:hAnsi="Cambria" w:cs="Calibri"/>
                <w:bCs/>
              </w:rPr>
              <w:t xml:space="preserve"> %</w:t>
            </w:r>
          </w:p>
        </w:tc>
      </w:tr>
      <w:tr w:rsidR="00054FDA" w:rsidRPr="00896800" w:rsidTr="00754873">
        <w:trPr>
          <w:trHeight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DA" w:rsidRPr="00F61B4F" w:rsidRDefault="00054FDA" w:rsidP="00054FDA">
            <w:pPr>
              <w:spacing w:before="60" w:after="60" w:line="276" w:lineRule="auto"/>
              <w:jc w:val="center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B</w:t>
            </w:r>
            <w:r w:rsidRPr="00F61B4F">
              <w:rPr>
                <w:rFonts w:ascii="Cambria" w:hAnsi="Cambria" w:cs="Calibri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DA" w:rsidRPr="00F61B4F" w:rsidRDefault="00054FDA" w:rsidP="00754873">
            <w:pPr>
              <w:spacing w:before="60" w:after="60" w:line="276" w:lineRule="auto"/>
              <w:rPr>
                <w:rFonts w:ascii="Cambria" w:hAnsi="Cambria" w:cs="Calibri"/>
              </w:rPr>
            </w:pPr>
            <w:r w:rsidRPr="00F61B4F">
              <w:rPr>
                <w:rFonts w:ascii="Cambria" w:hAnsi="Cambria" w:cs="Calibri"/>
              </w:rPr>
              <w:t>Technické parametry nabízeného přístroje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DA" w:rsidRPr="00F61B4F" w:rsidRDefault="00054FDA" w:rsidP="00754873">
            <w:pPr>
              <w:spacing w:before="60" w:after="60" w:line="276" w:lineRule="auto"/>
              <w:jc w:val="center"/>
              <w:rPr>
                <w:rFonts w:ascii="Cambria" w:hAnsi="Cambria" w:cs="Calibri"/>
              </w:rPr>
            </w:pPr>
            <w:r w:rsidRPr="00F61B4F">
              <w:rPr>
                <w:rFonts w:ascii="Cambria" w:hAnsi="Cambria" w:cs="Calibri"/>
              </w:rPr>
              <w:t>35 %</w:t>
            </w:r>
          </w:p>
        </w:tc>
      </w:tr>
    </w:tbl>
    <w:p w:rsidR="00054FDA" w:rsidRPr="00F61B4F" w:rsidRDefault="00054FDA" w:rsidP="00054FDA">
      <w:pPr>
        <w:pStyle w:val="Nadpis2"/>
        <w:keepNext w:val="0"/>
        <w:spacing w:before="240" w:after="120" w:line="276" w:lineRule="auto"/>
        <w:ind w:left="357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V případě, že zadavatel obdrží dvě nebo více nabídek, které budou mít po </w:t>
      </w:r>
      <w:proofErr w:type="spellStart"/>
      <w:r w:rsidRPr="00F61B4F">
        <w:rPr>
          <w:rFonts w:ascii="Cambria" w:hAnsi="Cambria" w:cs="Calibri"/>
          <w:sz w:val="22"/>
        </w:rPr>
        <w:t>provední</w:t>
      </w:r>
      <w:proofErr w:type="spellEnd"/>
      <w:r w:rsidRPr="00F61B4F">
        <w:rPr>
          <w:rFonts w:ascii="Cambria" w:hAnsi="Cambria" w:cs="Calibri"/>
          <w:sz w:val="22"/>
        </w:rPr>
        <w:t xml:space="preserve"> hodnocení stejný výsledek, bude o umístění takových nabídek v konečném pořadí hodnocení rozhodnuto dle kritéria </w:t>
      </w:r>
      <w:proofErr w:type="gramStart"/>
      <w:r w:rsidRPr="00F61B4F">
        <w:rPr>
          <w:rFonts w:ascii="Cambria" w:hAnsi="Cambria" w:cs="Calibri"/>
          <w:sz w:val="22"/>
        </w:rPr>
        <w:t>C. Pokud</w:t>
      </w:r>
      <w:proofErr w:type="gramEnd"/>
      <w:r w:rsidRPr="00F61B4F">
        <w:rPr>
          <w:rFonts w:ascii="Cambria" w:hAnsi="Cambria" w:cs="Calibri"/>
          <w:sz w:val="22"/>
        </w:rPr>
        <w:t xml:space="preserve"> nadále bude trvat rovnost výsledků, bude rozhodnuto dle kritéria A. V případě trvající rovnosti bude mezi nabídkami rozhodnuto losováním. Účastnit se losování mají právo dodavatelé, kteří takové nabídky podali. O termínu losování je zadavatel písemně vyrozumí nejméně 3 dny před losováním</w:t>
      </w:r>
    </w:p>
    <w:p w:rsidR="00054FDA" w:rsidRPr="00F61B4F" w:rsidRDefault="00054FDA" w:rsidP="00054FDA">
      <w:pPr>
        <w:pStyle w:val="Nadpis2"/>
        <w:numPr>
          <w:ilvl w:val="1"/>
          <w:numId w:val="1"/>
        </w:numPr>
        <w:spacing w:before="240" w:after="120" w:line="276" w:lineRule="auto"/>
        <w:rPr>
          <w:rFonts w:ascii="Cambria" w:hAnsi="Cambria" w:cs="Calibri"/>
          <w:b/>
          <w:sz w:val="22"/>
        </w:rPr>
      </w:pPr>
      <w:r w:rsidRPr="00F61B4F">
        <w:rPr>
          <w:rFonts w:ascii="Cambria" w:hAnsi="Cambria" w:cs="Calibri"/>
          <w:b/>
          <w:sz w:val="22"/>
        </w:rPr>
        <w:t>Způsob hodnocení:</w:t>
      </w:r>
    </w:p>
    <w:p w:rsidR="00054FDA" w:rsidRPr="00F61B4F" w:rsidRDefault="00054FDA" w:rsidP="00054FDA">
      <w:pPr>
        <w:pStyle w:val="Odstavecseseznamem"/>
        <w:keepNext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="Cambria" w:hAnsi="Cambria" w:cs="Calibri"/>
          <w:b/>
          <w:bCs/>
        </w:rPr>
      </w:pPr>
      <w:r w:rsidRPr="00F61B4F">
        <w:rPr>
          <w:rFonts w:ascii="Cambria" w:hAnsi="Cambria" w:cs="Calibri"/>
          <w:b/>
          <w:bCs/>
        </w:rPr>
        <w:t xml:space="preserve">Nabídková cena za dodání </w:t>
      </w:r>
      <w:r>
        <w:rPr>
          <w:rFonts w:ascii="Cambria" w:hAnsi="Cambria" w:cs="Calibri"/>
          <w:b/>
          <w:bCs/>
        </w:rPr>
        <w:t>CT přístroje</w:t>
      </w:r>
      <w:r w:rsidRPr="00F61B4F">
        <w:rPr>
          <w:rFonts w:ascii="Cambria" w:hAnsi="Cambria" w:cs="Calibri"/>
          <w:b/>
          <w:bCs/>
        </w:rPr>
        <w:t xml:space="preserve"> a souvisejícího plnění</w:t>
      </w:r>
    </w:p>
    <w:p w:rsidR="00054FDA" w:rsidRPr="00F61B4F" w:rsidRDefault="00054FDA" w:rsidP="00054FDA">
      <w:pPr>
        <w:pStyle w:val="Nadpis2"/>
        <w:keepNext w:val="0"/>
        <w:spacing w:after="120" w:line="276" w:lineRule="auto"/>
        <w:ind w:left="360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>V rámci tohoto kritéria hodnocení bude zadavatel hodnotit výši nabídkových cen celkem v Kč bez DPH nabídnutých účastníky v souladu s čl. 10 zadávací dokumentace. Nabídky budou hodnoceny podle nabídkové ceny uvedené ve formuláři nabídky. Za vhodnější nabídku se považuje nabídka s nižší nabídkovou cenou. Nabídky budou v rámci tohoto kritéria hodnocení hodnoceny bodovací metodou dle následujícího vzorce:</w:t>
      </w:r>
    </w:p>
    <w:p w:rsidR="00054FDA" w:rsidRPr="00F61B4F" w:rsidRDefault="00D5505A" w:rsidP="00054FDA">
      <w:pPr>
        <w:spacing w:after="120" w:line="276" w:lineRule="auto"/>
        <w:jc w:val="center"/>
        <w:rPr>
          <w:rFonts w:ascii="Cambria" w:hAnsi="Cambria" w:cs="Calibri"/>
          <w:color w:val="000000"/>
        </w:rPr>
      </w:pPr>
      <m:oMathPara>
        <m:oMath>
          <m:f>
            <m:fPr>
              <m:ctrlPr>
                <w:rPr>
                  <w:rFonts w:ascii="Cambria Math" w:hAnsi="Cambria Math" w:cs="Calibri"/>
                  <w:i/>
                </w:rPr>
              </m:ctrlPr>
            </m:fPr>
            <m:num>
              <m:r>
                <w:rPr>
                  <w:rFonts w:ascii="Cambria Math" w:hAnsi="Cambria Math" w:cs="Calibri"/>
                </w:rPr>
                <m:t>hodnota nejvhodnější nabídky</m:t>
              </m:r>
            </m:num>
            <m:den>
              <m:r>
                <w:rPr>
                  <w:rFonts w:ascii="Cambria Math" w:hAnsi="Cambria Math" w:cs="Calibri"/>
                </w:rPr>
                <m:t xml:space="preserve">hodnota hodnocené nabídky </m:t>
              </m:r>
            </m:den>
          </m:f>
          <m:r>
            <w:rPr>
              <w:rFonts w:ascii="Cambria Math" w:hAnsi="Cambria Math" w:cs="Calibri"/>
            </w:rPr>
            <m:t xml:space="preserve"> * 65 % </m:t>
          </m:r>
        </m:oMath>
      </m:oMathPara>
    </w:p>
    <w:p w:rsidR="00054FDA" w:rsidRPr="00F61B4F" w:rsidRDefault="00054FDA" w:rsidP="00054FDA">
      <w:pPr>
        <w:pStyle w:val="Nadpis2"/>
        <w:numPr>
          <w:ilvl w:val="0"/>
          <w:numId w:val="2"/>
        </w:numPr>
        <w:spacing w:after="120" w:line="276" w:lineRule="auto"/>
        <w:jc w:val="both"/>
        <w:rPr>
          <w:rFonts w:ascii="Cambria" w:hAnsi="Cambria" w:cs="Calibri"/>
          <w:b/>
          <w:bCs/>
          <w:sz w:val="22"/>
        </w:rPr>
      </w:pPr>
      <w:r w:rsidRPr="00F61B4F">
        <w:rPr>
          <w:rFonts w:ascii="Cambria" w:hAnsi="Cambria" w:cs="Calibri"/>
          <w:b/>
          <w:bCs/>
          <w:sz w:val="22"/>
        </w:rPr>
        <w:t>Technické parametry nabízeného přístroje</w:t>
      </w:r>
    </w:p>
    <w:p w:rsidR="00054FDA" w:rsidRPr="00F61B4F" w:rsidRDefault="00054FDA" w:rsidP="00054FDA">
      <w:pPr>
        <w:pStyle w:val="Nadpis2"/>
        <w:spacing w:after="120" w:line="276" w:lineRule="auto"/>
        <w:ind w:left="360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Předmětem hodnocení budou technické parametry dodavatelem nabízeného přístroje splňujícího podmínky zadavatele. </w:t>
      </w:r>
    </w:p>
    <w:p w:rsidR="00054FDA" w:rsidRDefault="00054FDA" w:rsidP="00054FDA">
      <w:pPr>
        <w:pStyle w:val="Nadpis2"/>
        <w:spacing w:after="120" w:line="276" w:lineRule="auto"/>
        <w:ind w:left="360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Nabídky budou hodnoceny podle níže uvedených </w:t>
      </w:r>
      <w:proofErr w:type="spellStart"/>
      <w:r w:rsidRPr="00F61B4F">
        <w:rPr>
          <w:rFonts w:ascii="Cambria" w:hAnsi="Cambria" w:cs="Calibri"/>
          <w:sz w:val="22"/>
        </w:rPr>
        <w:t>subkritérií</w:t>
      </w:r>
      <w:proofErr w:type="spellEnd"/>
      <w:r w:rsidRPr="00F61B4F">
        <w:rPr>
          <w:rFonts w:ascii="Cambria" w:hAnsi="Cambria" w:cs="Calibri"/>
          <w:sz w:val="22"/>
        </w:rPr>
        <w:t xml:space="preserve"> hodnocení a metod vyhodnocení dle údajů uvedených účastníky v technické specifikaci nabízeného plnění dle přílohy č. 2 zadávací dokumentace. Celkové bodové hodnocení nabídky v tomto kritériu zadavatel stanoví jako součet bodů nabídky dosažených v deseti jednotlivých </w:t>
      </w:r>
      <w:proofErr w:type="spellStart"/>
      <w:r w:rsidRPr="00F61B4F">
        <w:rPr>
          <w:rFonts w:ascii="Cambria" w:hAnsi="Cambria" w:cs="Calibri"/>
          <w:sz w:val="22"/>
        </w:rPr>
        <w:t>subkritériích</w:t>
      </w:r>
      <w:proofErr w:type="spellEnd"/>
      <w:r w:rsidRPr="00F61B4F">
        <w:rPr>
          <w:rFonts w:ascii="Cambria" w:hAnsi="Cambria" w:cs="Calibri"/>
          <w:sz w:val="22"/>
        </w:rPr>
        <w:t xml:space="preserve"> hodnocení: </w:t>
      </w:r>
    </w:p>
    <w:p w:rsidR="00054FDA" w:rsidRDefault="00054FDA" w:rsidP="00054FDA"/>
    <w:p w:rsidR="00054FDA" w:rsidRPr="00054FDA" w:rsidRDefault="00054FDA" w:rsidP="00054FDA"/>
    <w:p w:rsidR="00054FDA" w:rsidRDefault="00054FDA" w:rsidP="00054FDA"/>
    <w:p w:rsidR="00054FDA" w:rsidRDefault="00054FDA" w:rsidP="00054FDA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2939"/>
        <w:gridCol w:w="1389"/>
      </w:tblGrid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ind w:left="360"/>
              <w:jc w:val="center"/>
              <w:rPr>
                <w:rFonts w:ascii="Cambria" w:hAnsi="Cambria"/>
              </w:rPr>
            </w:pPr>
            <w:proofErr w:type="spellStart"/>
            <w:r w:rsidRPr="00020AA6">
              <w:rPr>
                <w:rFonts w:ascii="Cambria" w:hAnsi="Cambria" w:cs="Verdana"/>
                <w:b/>
                <w:lang w:val="en-US"/>
              </w:rPr>
              <w:lastRenderedPageBreak/>
              <w:t>Hodnocené</w:t>
            </w:r>
            <w:proofErr w:type="spellEnd"/>
            <w:r w:rsidRPr="00020AA6">
              <w:rPr>
                <w:rFonts w:ascii="Cambria" w:hAnsi="Cambria" w:cs="Verdana"/>
                <w:b/>
                <w:lang w:val="en-US"/>
              </w:rPr>
              <w:t xml:space="preserve"> </w:t>
            </w:r>
            <w:proofErr w:type="spellStart"/>
            <w:r w:rsidRPr="00020AA6">
              <w:rPr>
                <w:rFonts w:ascii="Cambria" w:hAnsi="Cambria" w:cs="Verdana"/>
                <w:b/>
                <w:lang w:val="en-US"/>
              </w:rPr>
              <w:t>parametry</w:t>
            </w:r>
            <w:proofErr w:type="spellEnd"/>
            <w:r w:rsidRPr="00020AA6">
              <w:rPr>
                <w:rFonts w:ascii="Cambria" w:hAnsi="Cambria" w:cs="Verdana"/>
                <w:b/>
                <w:lang w:val="en-US"/>
              </w:rPr>
              <w:t xml:space="preserve"> pro CT scanner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b/>
                <w:i/>
              </w:rPr>
              <w:t>Uchazečem nabízená hodnota</w:t>
            </w:r>
          </w:p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 xml:space="preserve">(uchazeč vyplní všechny řádky: u číselných údajů </w:t>
            </w:r>
            <w:r w:rsidRPr="00020AA6">
              <w:rPr>
                <w:rFonts w:ascii="Cambria" w:hAnsi="Cambria" w:cs="Verdana"/>
                <w:b/>
              </w:rPr>
              <w:t xml:space="preserve">uvedením hodnoty </w:t>
            </w:r>
            <w:r w:rsidRPr="00020AA6">
              <w:rPr>
                <w:rFonts w:ascii="Cambria" w:hAnsi="Cambria" w:cs="Verdana"/>
              </w:rPr>
              <w:t xml:space="preserve">parametru, u ostatních slovem </w:t>
            </w:r>
            <w:r w:rsidRPr="00020AA6">
              <w:rPr>
                <w:rFonts w:ascii="Cambria" w:hAnsi="Cambria" w:cs="Verdana"/>
                <w:b/>
              </w:rPr>
              <w:t xml:space="preserve">splňuje, zároveň uvede odkaz na přiložený </w:t>
            </w:r>
            <w:r w:rsidRPr="00020AA6">
              <w:rPr>
                <w:rFonts w:ascii="Cambria" w:hAnsi="Cambria" w:cs="Verdana"/>
              </w:rPr>
              <w:t>nebo výrobcem schválený veřejně přístupný</w:t>
            </w:r>
            <w:r w:rsidRPr="00020AA6">
              <w:rPr>
                <w:rFonts w:ascii="Cambria" w:hAnsi="Cambria" w:cs="Verdana"/>
                <w:b/>
              </w:rPr>
              <w:t xml:space="preserve"> dokument</w:t>
            </w:r>
            <w:r w:rsidRPr="00020AA6">
              <w:rPr>
                <w:rFonts w:ascii="Cambria" w:hAnsi="Cambria" w:cs="Verdana"/>
              </w:rPr>
              <w:t xml:space="preserve"> – zdroj, strana, kapitola)</w:t>
            </w: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 xml:space="preserve">Volba napětí min. v rozsahu 70 </w:t>
            </w:r>
            <w:proofErr w:type="spellStart"/>
            <w:r w:rsidRPr="00020AA6">
              <w:rPr>
                <w:rFonts w:ascii="Cambria" w:hAnsi="Cambria" w:cs="Verdana"/>
              </w:rPr>
              <w:t>kV</w:t>
            </w:r>
            <w:proofErr w:type="spellEnd"/>
            <w:r w:rsidRPr="00020AA6">
              <w:rPr>
                <w:rFonts w:ascii="Cambria" w:hAnsi="Cambria" w:cs="Verdana"/>
              </w:rPr>
              <w:t xml:space="preserve"> (a méně) až 150 </w:t>
            </w:r>
            <w:proofErr w:type="spellStart"/>
            <w:r w:rsidRPr="00020AA6">
              <w:rPr>
                <w:rFonts w:ascii="Cambria" w:hAnsi="Cambria" w:cs="Verdana"/>
              </w:rPr>
              <w:t>kV</w:t>
            </w:r>
            <w:proofErr w:type="spellEnd"/>
            <w:r w:rsidRPr="00020AA6">
              <w:rPr>
                <w:rFonts w:ascii="Cambria" w:hAnsi="Cambria" w:cs="Verdana"/>
              </w:rPr>
              <w:t xml:space="preserve"> (a více)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 bod</w:t>
            </w:r>
            <w:r w:rsidRPr="00020AA6">
              <w:rPr>
                <w:rFonts w:ascii="Cambria" w:hAnsi="Cambria" w:cs="Verdana"/>
              </w:rPr>
              <w:t>ů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 xml:space="preserve">Cínový filtr pro významné snížení dávky záření a redukci </w:t>
            </w:r>
            <w:proofErr w:type="spellStart"/>
            <w:r w:rsidRPr="00020AA6">
              <w:rPr>
                <w:rFonts w:ascii="Cambria" w:hAnsi="Cambria" w:cs="Verdana"/>
              </w:rPr>
              <w:t>beam-hardening</w:t>
            </w:r>
            <w:proofErr w:type="spellEnd"/>
            <w:r w:rsidRPr="00020AA6">
              <w:rPr>
                <w:rFonts w:ascii="Cambria" w:hAnsi="Cambria" w:cs="Verdana"/>
              </w:rPr>
              <w:t xml:space="preserve"> artefaktů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>Rotační čas RTG lampy 360 ° max. 0,3 s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  <w:lang w:val="en-US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 xml:space="preserve">Laserové navádění jehly při intervencích (označení místa vpichu, vizualizace sklonu jehly) výhradně zabudované v CT </w:t>
            </w:r>
            <w:proofErr w:type="spellStart"/>
            <w:r w:rsidRPr="00020AA6">
              <w:rPr>
                <w:rFonts w:ascii="Cambria" w:hAnsi="Cambria" w:cs="Verdana"/>
              </w:rPr>
              <w:t>gantry</w:t>
            </w:r>
            <w:proofErr w:type="spellEnd"/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20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 xml:space="preserve">SW pro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plánování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intervencí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ve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2D a 3D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obrazech</w:t>
            </w:r>
            <w:proofErr w:type="spellEnd"/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  <w:lang w:val="en-US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proofErr w:type="spellStart"/>
            <w:r w:rsidRPr="00020AA6">
              <w:rPr>
                <w:rFonts w:ascii="Cambria" w:hAnsi="Cambria" w:cs="Verdana"/>
                <w:lang w:val="en-US"/>
              </w:rPr>
              <w:t>Kamera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pro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sledování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pacienta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</w:t>
            </w:r>
            <w:proofErr w:type="spellStart"/>
            <w:r w:rsidRPr="00020AA6">
              <w:rPr>
                <w:rFonts w:ascii="Cambria" w:hAnsi="Cambria" w:cs="Verdana"/>
                <w:lang w:val="en-US"/>
              </w:rPr>
              <w:t>integrovaná</w:t>
            </w:r>
            <w:proofErr w:type="spellEnd"/>
            <w:r w:rsidRPr="00020AA6">
              <w:rPr>
                <w:rFonts w:ascii="Cambria" w:hAnsi="Cambria" w:cs="Verdana"/>
                <w:lang w:val="en-US"/>
              </w:rPr>
              <w:t xml:space="preserve"> v gantry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  <w:lang w:val="en-US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 xml:space="preserve">Kamera pro automatické vertikální nastavení pacienta do </w:t>
            </w:r>
            <w:proofErr w:type="spellStart"/>
            <w:r w:rsidRPr="00020AA6">
              <w:rPr>
                <w:rFonts w:ascii="Cambria" w:hAnsi="Cambria" w:cs="Verdana"/>
              </w:rPr>
              <w:t>izocentra</w:t>
            </w:r>
            <w:proofErr w:type="spellEnd"/>
            <w:r w:rsidRPr="00020AA6">
              <w:rPr>
                <w:rFonts w:ascii="Cambria" w:hAnsi="Cambria" w:cs="Verdana"/>
              </w:rPr>
              <w:t xml:space="preserve"> k zajištění odpovídající dávky záření a pro automatické horizontální nacentrování pacienta před </w:t>
            </w:r>
            <w:proofErr w:type="spellStart"/>
            <w:r w:rsidRPr="00020AA6">
              <w:rPr>
                <w:rFonts w:ascii="Cambria" w:hAnsi="Cambria" w:cs="Verdana"/>
              </w:rPr>
              <w:t>topogramem</w:t>
            </w:r>
            <w:proofErr w:type="spellEnd"/>
            <w:r w:rsidRPr="00020AA6">
              <w:rPr>
                <w:rFonts w:ascii="Cambria" w:hAnsi="Cambria" w:cs="Verdana"/>
              </w:rPr>
              <w:t xml:space="preserve"> podle vybrané vyšetřované oblasti 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proofErr w:type="spellStart"/>
            <w:r w:rsidRPr="00020AA6">
              <w:rPr>
                <w:rFonts w:ascii="Cambria" w:hAnsi="Cambria" w:cs="Verdana"/>
                <w:lang w:val="en-US"/>
              </w:rPr>
              <w:t>rekonstruk</w:t>
            </w:r>
            <w:proofErr w:type="spellEnd"/>
            <w:r w:rsidRPr="00020AA6">
              <w:rPr>
                <w:rFonts w:ascii="Cambria" w:hAnsi="Cambria" w:cs="Verdana"/>
              </w:rPr>
              <w:t>ční matrice min. 1024 x 1024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  <w:lang w:val="en-US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  <w:tr w:rsidR="00054FDA" w:rsidRPr="00020AA6" w:rsidTr="00754873">
        <w:trPr>
          <w:trHeight w:val="227"/>
        </w:trPr>
        <w:tc>
          <w:tcPr>
            <w:tcW w:w="2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54FDA" w:rsidRPr="00020AA6" w:rsidRDefault="00054FDA" w:rsidP="0075487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0" w:hanging="360"/>
              <w:jc w:val="both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</w:rPr>
              <w:t>vodní chlazení pro odvod tepla vyzářeného CT přístrojem</w:t>
            </w:r>
          </w:p>
        </w:tc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054FDA" w:rsidRPr="00020AA6" w:rsidRDefault="00054FDA" w:rsidP="00754873">
            <w:pPr>
              <w:jc w:val="center"/>
              <w:rPr>
                <w:rFonts w:ascii="Cambria" w:hAnsi="Cambria"/>
              </w:rPr>
            </w:pPr>
            <w:r w:rsidRPr="00020AA6">
              <w:rPr>
                <w:rFonts w:ascii="Cambria" w:hAnsi="Cambria" w:cs="Verdana"/>
                <w:lang w:val="en-US"/>
              </w:rPr>
              <w:t>10</w:t>
            </w:r>
          </w:p>
        </w:tc>
      </w:tr>
    </w:tbl>
    <w:p w:rsidR="00054FDA" w:rsidRPr="006B5A6C" w:rsidRDefault="00054FDA" w:rsidP="00054FDA"/>
    <w:p w:rsidR="00054FDA" w:rsidRDefault="00054FDA" w:rsidP="00054FDA">
      <w:pPr>
        <w:spacing w:line="276" w:lineRule="auto"/>
        <w:jc w:val="both"/>
        <w:rPr>
          <w:rFonts w:ascii="Cambria" w:hAnsi="Cambria" w:cs="Calibri"/>
        </w:rPr>
      </w:pPr>
    </w:p>
    <w:p w:rsidR="00054FDA" w:rsidRPr="00F61B4F" w:rsidRDefault="00054FDA" w:rsidP="00054FDA">
      <w:pPr>
        <w:pStyle w:val="Nadpis2"/>
        <w:keepNext w:val="0"/>
        <w:spacing w:after="120" w:line="276" w:lineRule="auto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>Proporcionálně přidělované body budou vypočteny lineárně a zaokrouhleny na dvě desetinná místa.</w:t>
      </w:r>
    </w:p>
    <w:p w:rsidR="00054FDA" w:rsidRDefault="00054FDA" w:rsidP="00054FDA">
      <w:pPr>
        <w:pStyle w:val="Nadpis2"/>
        <w:keepNext w:val="0"/>
        <w:spacing w:after="120" w:line="276" w:lineRule="auto"/>
        <w:jc w:val="both"/>
        <w:rPr>
          <w:rFonts w:ascii="Cambria" w:hAnsi="Cambria" w:cs="Calibri"/>
          <w:sz w:val="22"/>
        </w:rPr>
      </w:pPr>
      <w:r w:rsidRPr="00F61B4F">
        <w:rPr>
          <w:rFonts w:ascii="Cambria" w:hAnsi="Cambria" w:cs="Calibri"/>
          <w:sz w:val="22"/>
        </w:rPr>
        <w:t xml:space="preserve">Součet takto získaných bodů každé nabídky bude dále upraven (vynásoben) váhou kritéria C. </w:t>
      </w:r>
    </w:p>
    <w:p w:rsidR="00054FDA" w:rsidRDefault="00054FDA" w:rsidP="00054FDA"/>
    <w:p w:rsidR="00B218CB" w:rsidRDefault="00B218CB"/>
    <w:sectPr w:rsidR="00B21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">
    <w:nsid w:val="210328CB"/>
    <w:multiLevelType w:val="hybridMultilevel"/>
    <w:tmpl w:val="A2726CF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E3C53"/>
    <w:multiLevelType w:val="multilevel"/>
    <w:tmpl w:val="CB08B006"/>
    <w:lvl w:ilvl="0">
      <w:start w:val="11"/>
      <w:numFmt w:val="decimal"/>
      <w:lvlText w:val="%1."/>
      <w:lvlJc w:val="left"/>
      <w:pPr>
        <w:ind w:left="1211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mbria" w:hAnsi="Cambria" w:cs="Calibr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DA"/>
    <w:rsid w:val="00054FDA"/>
    <w:rsid w:val="00B218CB"/>
    <w:rsid w:val="00C01032"/>
    <w:rsid w:val="00D5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4FDA"/>
    <w:pPr>
      <w:spacing w:after="0" w:line="240" w:lineRule="auto"/>
    </w:pPr>
    <w:rPr>
      <w:rFonts w:ascii="Calibri" w:eastAsia="Times New Roman" w:hAnsi="Calibri" w:cs="Times New Roman"/>
      <w:lang w:eastAsia="cs-CZ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054FDA"/>
    <w:pPr>
      <w:keepNext/>
      <w:jc w:val="center"/>
      <w:outlineLvl w:val="0"/>
    </w:pPr>
    <w:rPr>
      <w:sz w:val="28"/>
    </w:rPr>
  </w:style>
  <w:style w:type="paragraph" w:styleId="Nadpis2">
    <w:name w:val="heading 2"/>
    <w:aliases w:val="Podkapitola1,hlavicka,l2,h2,list2,head2,G2,PA Major Section,hlavní odstavec,Nadpis 21,H2,Nadpis_2_úroveň,Podkapitola 1,Podkapitola 11,Podkapitola 12,Podkapitola 13,Podkapitola 14,Podkapitola 15,Podkapitola 111,Podkapitola 121,Podkapitola 131"/>
    <w:basedOn w:val="Normln"/>
    <w:next w:val="Normln"/>
    <w:link w:val="Nadpis2Char"/>
    <w:qFormat/>
    <w:rsid w:val="00054FDA"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basedOn w:val="Standardnpsmoodstavce"/>
    <w:link w:val="Nadpis1"/>
    <w:rsid w:val="00054FDA"/>
    <w:rPr>
      <w:rFonts w:ascii="Calibri" w:eastAsia="Times New Roman" w:hAnsi="Calibri" w:cs="Times New Roman"/>
      <w:sz w:val="28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,H2 Char,Nadpis_2_úroveň Char,Podkapitola 1 Char,Podkapitola 11 Char,Podkapitola 12 Char"/>
    <w:basedOn w:val="Standardnpsmoodstavce"/>
    <w:link w:val="Nadpis2"/>
    <w:rsid w:val="00054FDA"/>
    <w:rPr>
      <w:rFonts w:ascii="Calibri" w:eastAsia="Times New Roman" w:hAnsi="Calibri" w:cs="Times New Roman"/>
      <w:sz w:val="24"/>
      <w:lang w:eastAsia="cs-CZ"/>
    </w:rPr>
  </w:style>
  <w:style w:type="paragraph" w:styleId="Odstavecseseznamem">
    <w:name w:val="List Paragraph"/>
    <w:aliases w:val="Bullet Number,lp1,lp11,List Paragraph11,Bullet 1,Use Case List Paragraph,Odstavec_muj,Odrazky,Bullet List,Puce,Heading2,Bullet for no #'s,Body Bullet,List bullet,List Paragraph 1,Ref,List Bullet1,Figure_name,Nad,List Paragraph"/>
    <w:basedOn w:val="Normln"/>
    <w:link w:val="OdstavecseseznamemChar"/>
    <w:uiPriority w:val="34"/>
    <w:qFormat/>
    <w:rsid w:val="00054FDA"/>
    <w:pPr>
      <w:ind w:left="720"/>
      <w:contextualSpacing/>
    </w:pPr>
  </w:style>
  <w:style w:type="character" w:customStyle="1" w:styleId="OdstavecseseznamemChar">
    <w:name w:val="Odstavec se seznamem Char"/>
    <w:aliases w:val="Bullet Number Char,lp1 Char,lp11 Char,List Paragraph11 Char,Bullet 1 Char,Use Case List Paragraph Char,Odstavec_muj Char,Odrazky Char,Bullet List Char,Puce Char,Heading2 Char,Bullet for no #'s Char,Body Bullet Char,Ref Char"/>
    <w:link w:val="Odstavecseseznamem"/>
    <w:uiPriority w:val="34"/>
    <w:qFormat/>
    <w:rsid w:val="00054FDA"/>
    <w:rPr>
      <w:rFonts w:ascii="Calibri" w:eastAsia="Times New Roman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4F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FDA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4FDA"/>
    <w:pPr>
      <w:spacing w:after="0" w:line="240" w:lineRule="auto"/>
    </w:pPr>
    <w:rPr>
      <w:rFonts w:ascii="Calibri" w:eastAsia="Times New Roman" w:hAnsi="Calibri" w:cs="Times New Roman"/>
      <w:lang w:eastAsia="cs-CZ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054FDA"/>
    <w:pPr>
      <w:keepNext/>
      <w:jc w:val="center"/>
      <w:outlineLvl w:val="0"/>
    </w:pPr>
    <w:rPr>
      <w:sz w:val="28"/>
    </w:rPr>
  </w:style>
  <w:style w:type="paragraph" w:styleId="Nadpis2">
    <w:name w:val="heading 2"/>
    <w:aliases w:val="Podkapitola1,hlavicka,l2,h2,list2,head2,G2,PA Major Section,hlavní odstavec,Nadpis 21,H2,Nadpis_2_úroveň,Podkapitola 1,Podkapitola 11,Podkapitola 12,Podkapitola 13,Podkapitola 14,Podkapitola 15,Podkapitola 111,Podkapitola 121,Podkapitola 131"/>
    <w:basedOn w:val="Normln"/>
    <w:next w:val="Normln"/>
    <w:link w:val="Nadpis2Char"/>
    <w:qFormat/>
    <w:rsid w:val="00054FDA"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basedOn w:val="Standardnpsmoodstavce"/>
    <w:link w:val="Nadpis1"/>
    <w:rsid w:val="00054FDA"/>
    <w:rPr>
      <w:rFonts w:ascii="Calibri" w:eastAsia="Times New Roman" w:hAnsi="Calibri" w:cs="Times New Roman"/>
      <w:sz w:val="28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,H2 Char,Nadpis_2_úroveň Char,Podkapitola 1 Char,Podkapitola 11 Char,Podkapitola 12 Char"/>
    <w:basedOn w:val="Standardnpsmoodstavce"/>
    <w:link w:val="Nadpis2"/>
    <w:rsid w:val="00054FDA"/>
    <w:rPr>
      <w:rFonts w:ascii="Calibri" w:eastAsia="Times New Roman" w:hAnsi="Calibri" w:cs="Times New Roman"/>
      <w:sz w:val="24"/>
      <w:lang w:eastAsia="cs-CZ"/>
    </w:rPr>
  </w:style>
  <w:style w:type="paragraph" w:styleId="Odstavecseseznamem">
    <w:name w:val="List Paragraph"/>
    <w:aliases w:val="Bullet Number,lp1,lp11,List Paragraph11,Bullet 1,Use Case List Paragraph,Odstavec_muj,Odrazky,Bullet List,Puce,Heading2,Bullet for no #'s,Body Bullet,List bullet,List Paragraph 1,Ref,List Bullet1,Figure_name,Nad,List Paragraph"/>
    <w:basedOn w:val="Normln"/>
    <w:link w:val="OdstavecseseznamemChar"/>
    <w:uiPriority w:val="34"/>
    <w:qFormat/>
    <w:rsid w:val="00054FDA"/>
    <w:pPr>
      <w:ind w:left="720"/>
      <w:contextualSpacing/>
    </w:pPr>
  </w:style>
  <w:style w:type="character" w:customStyle="1" w:styleId="OdstavecseseznamemChar">
    <w:name w:val="Odstavec se seznamem Char"/>
    <w:aliases w:val="Bullet Number Char,lp1 Char,lp11 Char,List Paragraph11 Char,Bullet 1 Char,Use Case List Paragraph Char,Odstavec_muj Char,Odrazky Char,Bullet List Char,Puce Char,Heading2 Char,Bullet for no #'s Char,Body Bullet Char,Ref Char"/>
    <w:link w:val="Odstavecseseznamem"/>
    <w:uiPriority w:val="34"/>
    <w:qFormat/>
    <w:rsid w:val="00054FDA"/>
    <w:rPr>
      <w:rFonts w:ascii="Calibri" w:eastAsia="Times New Roman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4F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FDA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3</cp:revision>
  <dcterms:created xsi:type="dcterms:W3CDTF">2024-04-02T18:47:00Z</dcterms:created>
  <dcterms:modified xsi:type="dcterms:W3CDTF">2024-04-02T18:56:00Z</dcterms:modified>
</cp:coreProperties>
</file>